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беспроцентного целевого денежного займа, заключаемого между физическим и юридическим лицом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Займодавец передает Заемщику сумму беспроцентного займа в размере ________________ рублей, а Заемщик обязуется вернуть указанную сумму займа в срок, обусловленный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Указанная сумма займа должна использоваться Заемщиком для 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Займодавец передает Заемщику указанную сумму займа в срок до « ________________ » ________________ 2026 г. Моментом передачи считается момент зачисления суммы займа на банковский счет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Возврат Заемщиком суммы займа, указанной в настоящем договоре, осуществляется в полном объеме в течение ________________ с даты передачи денежных средств.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невозвращения указанной в п.1.1 договора суммы займа в определенный в п.2.3 настоящего договора срок Заемщик уплачивает Займодавцу пеню в размере ________________ % от суммы займа за каждый день просрочки, но не более ________________ % от суммы займа.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Заемщик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п.4.1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п.4.2 настоящего договора, то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в п.4.1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п.4.1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 и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Неурегулированные в процессе переговоров споры разрешаются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уведомления и сообщения в рамках настоящего договора должны направляться сторонами друг другу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будет считаться исполненным при выполнении Заемщиком обязательств по возврату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