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беспроцентного займа акционера ЗАО с залоговым обеспечением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«________________», с одной стороны, и ________________ в лице ________________, действующего на основании ________________, именуемый в дальнейшем «________________»,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годовых. Проценты выплачиваются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зачисления соответствующих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cуммы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 ________________</w:t>
      </w:r>
      <w:r>
        <w:tab/>
      </w:r>
      <w:r>
        <w:rPr>
          <w:rFonts w:ascii="Times New Roman" w:hAnsi="Times New Roman" w:eastAsia="Times New Roman"/>
        </w:rPr>
        <w:t xml:space="preserve">________________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