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шин, дисков, комплекта колес</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хранение вещи (ей) - шин, дисков, комплекта колес</w:t>
      </w:r>
    </w:p>
    <w:p>
      <w:pPr>
        <w:jc w:val="left"/>
        <w:spacing w:before="0" w:after="60" w:line="360" w:lineRule="auto"/>
      </w:pPr>
      <w:r>
        <w:rPr>
          <w:rFonts w:ascii="Times New Roman" w:hAnsi="Times New Roman" w:eastAsia="Times New Roman"/>
        </w:rPr>
        <w:t xml:space="preserve">• Сезон: в количестве __________, размером __________ марка ____________________ примерная стоимость __________ рублей.</w:t>
      </w:r>
    </w:p>
    <w:p>
      <w:pPr>
        <w:jc w:val="left"/>
        <w:spacing w:before="0" w:after="60" w:line="360" w:lineRule="auto"/>
      </w:pPr>
      <w:r>
        <w:rPr>
          <w:rFonts w:ascii="Times New Roman" w:hAnsi="Times New Roman" w:eastAsia="Times New Roman"/>
        </w:rPr>
        <w:t xml:space="preserve">• Сезон: в количестве __________, размером __________ марка ____________________ примерная стоимость __________ рублей.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Вещь, указанная в п.1.1 настоящего Договора хранения, передана на хранение Хранителю при заключении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Принятие вещи на хранение удостоверено настоящим Договором и выдачей Поклажедателю 2-го экземпляра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Хранитель должен обеспечить сохранность вещи в соответствии с правилами ст.891 ГК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не вправе без согласия Поклажедателя пользоваться переданной на хранение вещью или предоставлять возможность пользования ею другим (третьим) лицам, кроме случая, когда это связано с необходимостью обеспечить сохранность вещи (ей) и не противоречит договору хранения (ст.892 ГК РФ), а также законодательству Российской Федерации.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Хранитель при необходимости внесения изменений условия хранения обязан незамедлительно уведомить об этом Поклажедателя и дождаться его ответа, за исключением случаев,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угрозы или возникновения опасности утраты, недостачи, повреждения вещи (ей) Хранитель вправе изменить способ, место хранения и другие условия, не дожидаясь ответа Поклажедателя.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Поклажедатель уплачивает «Хранителю» вознаграждение за хранение вещи (ей) в размере __________ рублей.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Оплата хранения производится Поклажедателем по следующим периодам: ______________________.</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 истечении срока хранения Поклажедатель обязан взять обратно вещь, либо оплатить продление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Вещь должна быть возвращена в том состоянии, в каком принята на хранение, с учетом ее естественного ухудшения, естественной убыли, иного изменения вследствие ее естественных свойств.</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Размер ответственности «Хранителя» определяется по нормам ст.393, 902 ГК РФ.</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случае изменения контактной информации какой-либо из Сторон, она предупреждает об этом другую.</w:t>
      </w:r>
    </w:p>
    <w:p>
      <w:pPr>
        <w:jc w:val="left"/>
        <w:spacing w:before="240" w:after="120" w:line="360" w:lineRule="auto"/>
      </w:pPr>
      <w:r>
        <w:rPr>
          <w:rFonts w:ascii="Times New Roman" w:hAnsi="Times New Roman" w:eastAsia="Times New Roman"/>
          <w:b/>
          <w:sz w:val="28"/>
          <w:szCs w:val="28"/>
        </w:rPr>
        <w:t xml:space="preserve">3. ИНЫЕ УСЛОВИЯ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хранения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Споры, которые могут возникнуть при исполнении условий настоящего Договора, стороны его будут стремиться разрешать дружеским путем в порядке досудебного разбирательства: путем переговоров, обмена письмами, телеграммами, факсами и др. При этом каждая из Сторон вправе претендовать на наличие у нее в письменном виде результатов разрешения возникших вопросов. При недостижении взаимоприемлемого решения стороны вправе передать спорный вопрос на разрешение в судебном порядке в соответствии с действующим в Российской Федерации положениями о порядке разрешения споров между сторонами – участниками коммерческих, финансовых и иных отношений делового оборота.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хранения вправе рассмотреть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Стороны согласились, что настоящий Договор хранения может быть расторгнут по соглашению Сторон его при наличии к тому оснований, которые Стороны сочтут достаточными для расторжения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Настоящий договор хранения вступает в силу со дня подписания его сторонами, с которого и становится обязательным для сторон, заключивших его. Условия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Настоящий договор действует в течение ____________________ и прекращает свое действие «______» __________ 2026 года, посредством подписания приложения к настоящему Договору – Акта-передачи.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Договора хранения.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Оплата производится посредством квитанции, либо подтверждения оплаты, которая представляется Поклажедателем Хранителю, ранее момента передачи вещи либо в течение не более __________ рабочих банковских дней с момента передачи вещи на хранение.</w:t>
      </w:r>
    </w:p>
    <w:p>
      <w:pPr>
        <w:jc w:val="left"/>
        <w:spacing w:before="240" w:after="120" w:line="360" w:lineRule="auto"/>
      </w:pPr>
      <w:r>
        <w:rPr>
          <w:rFonts w:ascii="Times New Roman" w:hAnsi="Times New Roman" w:eastAsia="Times New Roman"/>
          <w:b/>
          <w:sz w:val="28"/>
          <w:szCs w:val="28"/>
        </w:rPr>
        <w:t xml:space="preserve">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5.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