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между продавцом и покупателем товара о порядке осуществления гарантийного ремонта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Доверитель поручает, а Поверенный берет на себя обязательство совершать от имени и за счет Доверителя действия, перечисленные в п.2.1.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и обязанности по сделкам, совершенным Поверенным, возникают непосредственно у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Поверенный вправе передать исполнение поручения другому лицу (заместителю). Поверенный отвечает за выбор заместителя. Доверитель вправе отвести заместителя, избранного Поверенным.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Поверенный обязан уведомить Доверителя о назначении заместителя и сообщить Доверителю необходимые сведения об этом лице. Неисполнение этой обязанности возлагает на Поверенного ответственность за действия лица, которому он передал полномочия, как за свои собственные.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обращения Доверителя к Поверенному по вопросам, связанным с возникшими в пределах установленного гарантийного срока неисправностями в работе оборудования, приобретенных ранее Доверителем у Поверенного, последний обязуется совершить все необходимые действия для обеспечения гарантийного ремонта и/или замены указанного оборудования, а именно: в течение 24 часов с момента получения уведомления от Доверителя забрать у него неисправное оборудование;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доставить оборудование в сервисный центр, уполномоченный осуществлять гарантийный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оформить от имени Доверителя все необходимые документы для выполнения ремонта сервисным центром;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доставить Доверителю отремонтированное/замененное оборудование;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ответственность за сохранность оборудования, полученного у клиента;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исполнении поручения предоставить Доверителю отчет с приложением оправдательных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Поверенному доверенность на совершение указанных в п.2.1. договора действий;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Поверенного документами, необходимыми для выполнения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Поверенному обусловленное настоящим договором вознаграждение;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понесенные Поверенным расходы на исполнение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уведомляет Поверенного о возникших неисправностях оборудования по телефону либо по факсу.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Поверенного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Доверитель производит 100% предоплату суммы вознаграждения, указанной в п.3.2. настоящего договора, на расчетный счет Поверенного в течение __________ дней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И ПОСЛЕДСТВИЯ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поручения прекращается в случаях, установленных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отмене поручения Доверителем до того, как поручение исполнено Поверенным полностью, он обязан выплатить Поверенному вознаграждение соразмерно выполненной работе.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