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Соглашения о продлении срока возврата займа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и гр.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настоящее соглашение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ИЗМЕНЕНИЕ УСЛОВИЙ ДОГОВОРА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Настоящее Соглашение заключено к договору займа № ______ от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Стороны договорились продлить срок возврата суммы займа и изложить условие о сроке возврата в следующей редакции: «Сумма займа подлежит возврату Заимодавцу не позднее «__________» __________________ 2026 г.».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Во всем остальном, что прямо не изменено настоящим Соглашением, Стороны руководствуются условиями основного договора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Настоящее Соглашение является неотъемлемой частью договора займа, указанного в пункте 1.1 настоящего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Соглашение вступает в силу с момента его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Соглашение составлено в двух экземплярах,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Данные Заимодавца</w:t>
      </w:r>
      <w:r>
        <w:tab/>
      </w:r>
      <w:r>
        <w:rPr>
          <w:rFonts w:ascii="Times New Roman" w:hAnsi="Times New Roman" w:eastAsia="Times New Roman"/>
        </w:rPr>
        <w:t xml:space="preserve">Данные Заемщика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Ф.И.О.: ________________________________</w:t>
      </w:r>
      <w:r>
        <w:tab/>
      </w:r>
      <w:r>
        <w:rPr>
          <w:rFonts w:ascii="Times New Roman" w:hAnsi="Times New Roman" w:eastAsia="Times New Roman"/>
        </w:rPr>
        <w:t xml:space="preserve">Ф.И.О.: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